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jc w:val="left"/>
        <w:rPr>
          <w:b w:val="1"/>
          <w:bCs w:val="1"/>
          <w:sz w:val="36"/>
          <w:szCs w:val="36"/>
        </w:rPr>
      </w:pPr>
      <w:r w:rsidDel="00000000" w:rsidR="00000000" w:rsidRPr="00000000">
        <w:rPr>
          <w:b w:val="1"/>
          <w:bCs w:val="1"/>
          <w:sz w:val="36"/>
          <w:szCs w:val="36"/>
          <w:rtl w:val="0"/>
        </w:rPr>
        <w:t xml:space="preserve">Call-Off Schedule 16 (Benchmarking)</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Rule="auto"/>
        <w:jc w:val="left"/>
        <w:rPr>
          <w:b w:val="1"/>
          <w:bCs w:val="1"/>
          <w:smallCaps w:val="1"/>
        </w:rPr>
      </w:pPr>
      <w:r w:rsidDel="00000000" w:rsidR="00000000" w:rsidRPr="00000000">
        <w:rPr>
          <w:rtl w:val="0"/>
        </w:rPr>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rtl w:val="0"/>
        </w:rPr>
        <w:t xml:space="preserve">Definitions</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expressions shall have the following meanings:</w:t>
      </w:r>
    </w:p>
    <w:tbl>
      <w:tblPr>
        <w:tblStyle w:val="Table1"/>
        <w:tblW w:w="8042.0" w:type="dxa"/>
        <w:jc w:val="left"/>
        <w:tblInd w:w="1134.0" w:type="dxa"/>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"Benchmark Review"</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"Benchmarked Deliverables"</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"Benchmarked Rates" </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the Charges attributable to the Benchmarked Deliverables;</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"Comparable Rates"</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"Comparable Deliverables"</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"Comparison Group"</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"Equivalent Data"</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"Good Value"</w:t>
            </w:r>
          </w:p>
        </w:tc>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ind w:left="23" w:firstLine="0"/>
              <w:jc w:val="left"/>
              <w:rPr>
                <w:b w:val="1"/>
                <w:bCs w:val="1"/>
              </w:rPr>
            </w:pPr>
            <w:r w:rsidDel="00000000" w:rsidR="00000000" w:rsidRPr="00000000">
              <w:rPr>
                <w:b w:val="1"/>
                <w:bCs w:val="1"/>
                <w:rtl w:val="0"/>
              </w:rPr>
              <w:t xml:space="preserve">"Upper Quartile"</w:t>
            </w:r>
          </w:p>
        </w:tc>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75"/>
              </w:tabs>
              <w:spacing w:after="120" w:before="120" w:lineRule="auto"/>
              <w:jc w:val="left"/>
              <w:rPr/>
            </w:pPr>
            <w:r w:rsidDel="00000000" w:rsidR="00000000" w:rsidRPr="00000000">
              <w:rPr>
                <w:rtl w:val="0"/>
              </w:rPr>
              <w:t xml:space="preserve">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7">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rtl w:val="0"/>
        </w:rPr>
        <w:t xml:space="preserve">When you should use this Schedule</w:t>
      </w:r>
      <w:r w:rsidDel="00000000" w:rsidR="00000000" w:rsidRPr="00000000">
        <w:rPr>
          <w:rtl w:val="0"/>
        </w:rPr>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Schedule sets to ensure the Contract represents value for money throughout and that the Buyer may terminate the Contract by issuing a Termination Notice to the Supplier if the Supplier refuses or fails to comply with its obligations as set out in Paragraph 3 of this Schedule.</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Amounts payable under this Schedule shall not fall with the definition of a Cost.</w:t>
      </w:r>
    </w:p>
    <w:p w:rsidR="00000000" w:rsidDel="00000000" w:rsidP="00000000" w:rsidRDefault="00000000" w:rsidRPr="00000000" w14:paraId="0000001B">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rtl w:val="0"/>
        </w:rPr>
        <w:t xml:space="preserve">Benchmarking</w:t>
      </w:r>
    </w:p>
    <w:p w:rsidR="00000000" w:rsidDel="00000000" w:rsidP="00000000" w:rsidRDefault="00000000" w:rsidRPr="00000000" w14:paraId="0000001C">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b w:val="1"/>
          <w:bCs w:val="1"/>
          <w:rtl w:val="0"/>
        </w:rPr>
        <w:t xml:space="preserve">How benchmarking works</w:t>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and the Supplier recognise that, where specified in Framework Schedule 4 </w:t>
      </w:r>
      <w:r w:rsidDel="00000000" w:rsidR="00000000" w:rsidRPr="00000000">
        <w:rPr>
          <w:i w:val="1"/>
          <w:iCs w:val="1"/>
          <w:rtl w:val="0"/>
        </w:rPr>
        <w:t xml:space="preserve">(Framework Management)</w:t>
      </w:r>
      <w:r w:rsidDel="00000000" w:rsidR="00000000" w:rsidRPr="00000000">
        <w:rPr>
          <w:rtl w:val="0"/>
        </w:rPr>
        <w:t xml:space="preserve">, the Buyer may give CCS the right to enforce the Buyer's rights under this Schedule.</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may, by written notice to the Supplier, require a Benchmark Review of any or all of the Deliverables.</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Buyer shall not be entitled to request a Benchmark Review during the first six (6) Month period from the Effective Date or at intervals of less than twelve (12) Months after any previous Benchmark Review. </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Deliverables that are to be the Benchmarked Deliverables will be identified by the Buyer in writing.</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b w:val="1"/>
          <w:bCs w:val="1"/>
          <w:rtl w:val="0"/>
        </w:rPr>
        <w:t xml:space="preserve">Benchmarking Process</w:t>
      </w:r>
    </w:p>
    <w:p w:rsidR="00000000" w:rsidDel="00000000" w:rsidP="00000000" w:rsidRDefault="00000000" w:rsidRPr="00000000" w14:paraId="00000025">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v4mh42j3t06u" w:id="0"/>
      <w:bookmarkEnd w:id="0"/>
      <w:r w:rsidDel="00000000" w:rsidR="00000000" w:rsidRPr="00000000">
        <w:rPr>
          <w:rtl w:val="0"/>
        </w:rPr>
        <w:t xml:space="preserve">The benchmarker shall produce and send to the Buyer, for Approval, a draft plan for the Benchmark Review which must include:</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proposed cost and timetable for the Benchmark Review;</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 description of how the benchmarker will scope and identify the Comparison Group. </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5pz7tweixq23" w:id="1"/>
      <w:bookmarkEnd w:id="1"/>
      <w:r w:rsidDel="00000000" w:rsidR="00000000" w:rsidRPr="00000000">
        <w:rPr>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w9f8nwfa08ee" w:id="2"/>
      <w:bookmarkEnd w:id="2"/>
      <w:r w:rsidDel="00000000" w:rsidR="00000000" w:rsidRPr="00000000">
        <w:rPr>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Once both Parties have approved the draft plan then they will notify the benchmarker. No Party may unreasonably withhold or delay its agreement to the draft plan.</w:t>
      </w:r>
    </w:p>
    <w:p w:rsidR="00000000" w:rsidDel="00000000" w:rsidP="00000000" w:rsidRDefault="00000000" w:rsidRPr="00000000" w14:paraId="0000002C">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Once it has received the Approval of the draft plan, the benchmarker shall:</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finalise the Comparison Group and collect data relating to Comparable Rates. The selection of the Comparable Rates (both in terms of number and identity) shall be a matter for the benchmarker's professional judgment using:</w:t>
      </w:r>
    </w:p>
    <w:p w:rsidR="00000000" w:rsidDel="00000000" w:rsidP="00000000" w:rsidRDefault="00000000" w:rsidRPr="00000000" w14:paraId="0000002E">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information from other service providers to the Buyer;</w:t>
      </w:r>
    </w:p>
    <w:p w:rsidR="00000000" w:rsidDel="00000000" w:rsidP="00000000" w:rsidRDefault="00000000" w:rsidRPr="00000000" w14:paraId="0000002F">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survey information;</w:t>
      </w:r>
    </w:p>
    <w:p w:rsidR="00000000" w:rsidDel="00000000" w:rsidP="00000000" w:rsidRDefault="00000000" w:rsidRPr="00000000" w14:paraId="00000030">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information from "in-house" providers to the Buyer to the extent that the benchmarker considers that they are valid comparators;</w:t>
      </w:r>
    </w:p>
    <w:p w:rsidR="00000000" w:rsidDel="00000000" w:rsidP="00000000" w:rsidRDefault="00000000" w:rsidRPr="00000000" w14:paraId="00000031">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market intelligence;</w:t>
      </w:r>
    </w:p>
    <w:p w:rsidR="00000000" w:rsidDel="00000000" w:rsidP="00000000" w:rsidRDefault="00000000" w:rsidRPr="00000000" w14:paraId="00000032">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the benchmarker’s own data and experience;</w:t>
      </w:r>
    </w:p>
    <w:p w:rsidR="00000000" w:rsidDel="00000000" w:rsidP="00000000" w:rsidRDefault="00000000" w:rsidRPr="00000000" w14:paraId="00000033">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r w:rsidDel="00000000" w:rsidR="00000000" w:rsidRPr="00000000">
        <w:rPr>
          <w:rtl w:val="0"/>
        </w:rPr>
        <w:t xml:space="preserve">relevant published information; and</w:t>
      </w:r>
    </w:p>
    <w:p w:rsidR="00000000" w:rsidDel="00000000" w:rsidP="00000000" w:rsidRDefault="00000000" w:rsidRPr="00000000" w14:paraId="00000034">
      <w:pPr>
        <w:numPr>
          <w:ilvl w:val="4"/>
          <w:numId w:val="1"/>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jc w:val="left"/>
        <w:rPr/>
      </w:pPr>
      <w:bookmarkStart w:colFirst="0" w:colLast="0" w:name="_245opril0w6m" w:id="3"/>
      <w:bookmarkEnd w:id="3"/>
      <w:r w:rsidDel="00000000" w:rsidR="00000000" w:rsidRPr="00000000">
        <w:rPr>
          <w:rtl w:val="0"/>
        </w:rPr>
        <w:t xml:space="preserve">pursuant to Paragraph 3.2.6 below, information from other suppliers or purchasers on Comparable Rates;</w:t>
      </w:r>
    </w:p>
    <w:p w:rsidR="00000000" w:rsidDel="00000000" w:rsidP="00000000" w:rsidRDefault="00000000" w:rsidRPr="00000000" w14:paraId="00000035">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6">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using the Equivalent Data, calculate the Upper Quartile; and</w:t>
      </w:r>
    </w:p>
    <w:p w:rsidR="00000000" w:rsidDel="00000000" w:rsidP="00000000" w:rsidRDefault="00000000" w:rsidRPr="00000000" w14:paraId="00000037">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determine whether or not each Benchmarked Rate is, and/or the Benchmarked Rates as a whole are, Good Value.</w:t>
      </w:r>
    </w:p>
    <w:p w:rsidR="00000000" w:rsidDel="00000000" w:rsidP="00000000" w:rsidRDefault="00000000" w:rsidRPr="00000000" w14:paraId="0000003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2ata647ngrqa" w:id="4"/>
      <w:bookmarkEnd w:id="4"/>
      <w:r w:rsidDel="00000000" w:rsidR="00000000" w:rsidRPr="00000000">
        <w:rPr>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9">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fjrcrdt2tw6x" w:id="5"/>
      <w:bookmarkEnd w:id="5"/>
      <w:r w:rsidDel="00000000" w:rsidR="00000000" w:rsidRPr="00000000">
        <w:rPr>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A">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B">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exchange rates; and</w:t>
      </w:r>
    </w:p>
    <w:p w:rsidR="00000000" w:rsidDel="00000000" w:rsidP="00000000" w:rsidRDefault="00000000" w:rsidRPr="00000000" w14:paraId="0000003C">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D">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2"/>
        <w:jc w:val="left"/>
        <w:rPr/>
      </w:pPr>
      <w:r w:rsidDel="00000000" w:rsidR="00000000" w:rsidRPr="00000000">
        <w:rPr>
          <w:b w:val="1"/>
          <w:bCs w:val="1"/>
          <w:rtl w:val="0"/>
        </w:rPr>
        <w:t xml:space="preserve">Benchmarking Report</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For the purposes of this Schedule </w:t>
      </w:r>
      <w:r w:rsidDel="00000000" w:rsidR="00000000" w:rsidRPr="00000000">
        <w:rPr>
          <w:b w:val="1"/>
          <w:bCs w:val="1"/>
          <w:rtl w:val="0"/>
        </w:rPr>
        <w:t xml:space="preserve">"Benchmarking Report"</w:t>
      </w:r>
      <w:r w:rsidDel="00000000" w:rsidR="00000000" w:rsidRPr="00000000">
        <w:rPr>
          <w:rtl w:val="0"/>
        </w:rPr>
        <w:t xml:space="preserve"> shall mean the report produced by the benchmarker following the Benchmark Review and as further described in this Schedule.</w:t>
      </w:r>
    </w:p>
    <w:p w:rsidR="00000000" w:rsidDel="00000000" w:rsidP="00000000" w:rsidRDefault="00000000" w:rsidRPr="00000000" w14:paraId="0000003F">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40">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include a finding as to whether or not a Benchmarked Service and/or whether the Benchmarked Deliverables as a whole are, Good Value;</w:t>
      </w:r>
    </w:p>
    <w:p w:rsidR="00000000" w:rsidDel="00000000" w:rsidP="00000000" w:rsidRDefault="00000000" w:rsidRPr="00000000" w14:paraId="00000041">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42">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835" w:hanging="850"/>
        <w:jc w:val="left"/>
        <w:rPr/>
      </w:pPr>
      <w:r w:rsidDel="00000000" w:rsidR="00000000" w:rsidRPr="00000000">
        <w:rPr>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4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sectPr>
          <w:headerReference r:id="rId6" w:type="default"/>
          <w:headerReference r:id="rId7" w:type="first"/>
          <w:footerReference r:id="rId8" w:type="default"/>
          <w:footerReference r:id="rId9" w:type="first"/>
          <w:pgSz w:h="16838" w:w="11906" w:orient="portrait"/>
          <w:pgMar w:bottom="1440" w:top="1440" w:left="1440" w:right="1440" w:header="709" w:footer="709"/>
          <w:pgNumType w:start="1"/>
        </w:sectPr>
      </w:pPr>
      <w:r w:rsidDel="00000000" w:rsidR="00000000" w:rsidRPr="00000000">
        <w:rPr>
          <w:rtl w:val="0"/>
        </w:rPr>
        <w:t xml:space="preserve">The Parties agree that any changes required to this Contract identified in the Benchmarking Report shall be implemented at the direction of the Buyer in accordance with the Variation Procedure.</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985"/>
        </w:tabs>
        <w:spacing w:after="120" w:before="120" w:lineRule="auto"/>
        <w:ind w:left="1656" w:hanging="720"/>
        <w:jc w:val="left"/>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4B">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tabs>
        <w:tab w:val="center" w:leader="none" w:pos="4513"/>
        <w:tab w:val="right" w:leader="none" w:pos="9026"/>
      </w:tabs>
      <w:spacing w:after="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tabs>
        <w:tab w:val="center" w:leader="none" w:pos="4513"/>
        <w:tab w:val="right" w:leader="none" w:pos="9026"/>
      </w:tabs>
      <w:spacing w:after="0" w:lineRule="auto"/>
      <w:rPr/>
    </w:pPr>
    <w:r w:rsidDel="00000000" w:rsidR="00000000" w:rsidRPr="00000000">
      <w:rPr>
        <w:sz w:val="20"/>
        <w:szCs w:val="20"/>
        <w:rtl w:val="0"/>
      </w:rPr>
      <w:t xml:space="preserve">Model Version: v3.0</w:t>
      <w:tab/>
    </w:r>
    <w:r w:rsidDel="00000000" w:rsidR="00000000" w:rsidRPr="00000000">
      <w:rPr>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16 (Benchmarking)</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-13332</wp:posOffset>
          </wp:positionV>
          <wp:extent cx="849085" cy="685627"/>
          <wp:effectExtent b="0" l="0" r="0" t="0"/>
          <wp:wrapNone/>
          <wp:docPr descr="Crown Commercial Service" id="1"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563" w:hanging="720"/>
      </w:pPr>
      <w:rPr>
        <w:rFonts w:ascii="Arial" w:cs="Arial" w:eastAsia="Arial" w:hAnsi="Arial"/>
        <w:b w:val="0"/>
        <w:bCs w:val="0"/>
        <w:i w:val="0"/>
        <w:iCs w:val="0"/>
        <w:smallCaps w:val="0"/>
        <w:strike w:val="0"/>
        <w:color w:val="000000"/>
        <w:sz w:val="24"/>
        <w:szCs w:val="24"/>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93588384</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DocName">
    <vt:lpwstr>DWFDocName</vt:lpwstr>
  </property>
  <property fmtid="{D5CDD505-2E9C-101B-9397-08002B2CF9AE}" pid="10" name="DWFFooter">
    <vt:lpwstr>93588384-1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